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VFX Final-Render Specification</w:t>
      </w:r>
    </w:p>
    <w:p>
      <w:pPr>
        <w:spacing w:after="160"/>
      </w:pPr>
      <w:r>
        <w:rPr>
          <w:i/>
          <w:color w:val="5F6875"/>
        </w:rPr>
        <w:t>Defines the full-quality VFX image that advances to the DI.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PROJECT-VFX-FINAL-SPEC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Final format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OpenEXR image sequence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Pixel data type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16-bit floating-point. Use 32-bit floating-point only when a tested range or operation requires it.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Base channels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RGB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Additional channels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unless the DI requests approved named mattes or data channels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Compression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ZIP1, lossless. Record one selected compression method. Use PIZ or lossless HTJ2K only after the exact vendor and DI applications pass a round trip. Do not list alternate compression methods in the issued specification.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encoding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plate and image-pipeline specifications. ACEScg for this baseline.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Raster and extraction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plate exactly unless the approved round trip defines another result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Pixel aspect ratio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plate exactly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Project frame rate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plate and DI timeline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Delivery range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Return the complete logical shot with 4 comp handles at both head and tail unless the shot record says otherwise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Frame numbering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Preserve the plate-to-source mapping and retain frame identity when handles change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Filename pattern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sequence, shot, task, revision, frame number, and extension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Alpha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by default. When required, state straight or premultiplied and name the premultiplication encoding.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Channel naming convention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OpenEXR layer.channel, using names approved by the DI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Mattes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 each channel, data type, premultiplication state, encoding, and intended use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Multipart, Cryptomatte, or deep 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Not included unless the DI requests and validates the representation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Data and display windows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plate rule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Lens distortion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Return the final in the same distortion state and geometry as the plate unless the DI approves another handoff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Timewarp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Apply only at the stage named in the plate and shot specifications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Burn-ins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Prohibited in final picture frames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Slate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Optional outside the numbered image sequence. It must not shift frame numbers.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Stable asset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Production shot or asset ID from the tracking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Production revision pattern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v###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 vendor 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separately when supplied. Do not substitute it for the production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Use only the controlled vocabulary on this page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Provenance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Creator, role, date, reason, source revision, and software or pipeline revision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Zero-net-change tolerance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Bit-identical in unchanged regions when the plate and final use the same representation. Use a signed pixel-difference test at zero tolerance. If a required conversion prevents a bit-identical result, approve and record another numerical tolerance during the round trip.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QC report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Required with corrupt-frame, missing-frame, NaN, infinity, color, geometry, matte, grain, and full-frame inspection results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Delivery path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production-controlled transfer location and folder pattern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Manifest and checksum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Per-file SHA-256, or the recipient's required method with the algorithm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